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CF5B2" w14:textId="77777777" w:rsidR="00341D24" w:rsidRPr="00ED1206" w:rsidRDefault="00F95175" w:rsidP="00ED1206">
      <w:pPr>
        <w:pBdr>
          <w:bottom w:val="double" w:sz="6" w:space="1" w:color="auto"/>
        </w:pBdr>
        <w:spacing w:line="276" w:lineRule="auto"/>
        <w:rPr>
          <w:rFonts w:ascii="Verdana" w:hAnsi="Verdana"/>
          <w:b/>
          <w:sz w:val="20"/>
          <w:szCs w:val="20"/>
        </w:rPr>
      </w:pPr>
      <w:r w:rsidRPr="00ED1206">
        <w:rPr>
          <w:rFonts w:ascii="Verdana" w:hAnsi="Verdana"/>
          <w:b/>
          <w:sz w:val="20"/>
          <w:szCs w:val="20"/>
        </w:rPr>
        <w:t>Beleidsregel</w:t>
      </w:r>
      <w:r w:rsidR="00354217" w:rsidRPr="00ED1206">
        <w:rPr>
          <w:rFonts w:ascii="Verdana" w:hAnsi="Verdana"/>
          <w:b/>
          <w:sz w:val="20"/>
          <w:szCs w:val="20"/>
        </w:rPr>
        <w:t xml:space="preserve"> </w:t>
      </w:r>
      <w:r w:rsidRPr="00ED1206">
        <w:rPr>
          <w:rFonts w:ascii="Verdana" w:hAnsi="Verdana"/>
          <w:b/>
          <w:sz w:val="20"/>
          <w:szCs w:val="20"/>
        </w:rPr>
        <w:t xml:space="preserve">inzake </w:t>
      </w:r>
      <w:r w:rsidR="00807EEB" w:rsidRPr="00ED1206">
        <w:rPr>
          <w:rFonts w:ascii="Verdana" w:hAnsi="Verdana"/>
          <w:b/>
          <w:sz w:val="20"/>
          <w:szCs w:val="20"/>
        </w:rPr>
        <w:t>de advocaat in dienstbetrekking en de kantoortuin</w:t>
      </w:r>
    </w:p>
    <w:p w14:paraId="55BA8D59" w14:textId="77777777" w:rsidR="00341D24" w:rsidRPr="00ED1206" w:rsidRDefault="00341D24" w:rsidP="00ED1206">
      <w:pPr>
        <w:spacing w:line="276" w:lineRule="auto"/>
        <w:rPr>
          <w:rFonts w:ascii="Verdana" w:hAnsi="Verdana"/>
          <w:b/>
          <w:sz w:val="20"/>
          <w:szCs w:val="20"/>
        </w:rPr>
      </w:pPr>
    </w:p>
    <w:p w14:paraId="70CD6772" w14:textId="77777777" w:rsidR="00807EEB" w:rsidRPr="00ED1206" w:rsidRDefault="00807EEB" w:rsidP="00ED1206">
      <w:pPr>
        <w:spacing w:before="252" w:after="0" w:line="276" w:lineRule="auto"/>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 xml:space="preserve">In beginsel zal een advocaat in dienstbetrekking </w:t>
      </w:r>
      <w:r w:rsidRPr="00ED1206">
        <w:rPr>
          <w:rFonts w:ascii="Verdana" w:eastAsia="Franklin Gothic Book" w:hAnsi="Verdana" w:cs="Calibri"/>
          <w:i/>
          <w:color w:val="000000"/>
          <w:sz w:val="20"/>
          <w:szCs w:val="20"/>
        </w:rPr>
        <w:t xml:space="preserve">niet </w:t>
      </w:r>
      <w:r w:rsidRPr="00ED1206">
        <w:rPr>
          <w:rFonts w:ascii="Verdana" w:eastAsia="Franklin Gothic Book" w:hAnsi="Verdana" w:cs="Calibri"/>
          <w:color w:val="000000"/>
          <w:sz w:val="20"/>
          <w:szCs w:val="20"/>
        </w:rPr>
        <w:t>werken in een kantoortuin</w:t>
      </w:r>
      <w:r w:rsidRPr="00ED1206">
        <w:rPr>
          <w:rFonts w:ascii="Verdana" w:eastAsia="Franklin Gothic Book" w:hAnsi="Verdana" w:cs="Calibri"/>
          <w:color w:val="000000"/>
          <w:sz w:val="20"/>
          <w:szCs w:val="20"/>
        </w:rPr>
        <w:softHyphen/>
        <w:t>om</w:t>
      </w:r>
      <w:r w:rsidRPr="00ED1206">
        <w:rPr>
          <w:rFonts w:ascii="Verdana" w:eastAsia="Franklin Gothic Book" w:hAnsi="Verdana" w:cs="Calibri"/>
          <w:color w:val="000000"/>
          <w:sz w:val="20"/>
          <w:szCs w:val="20"/>
        </w:rPr>
        <w:softHyphen/>
        <w:t>geving waarin ook niet-advocaten werkzaam zijn. Dit volgt uit artikel 10a Advocatenwet en artikel 3 van de Gedragsregels. Deze luiden, voor zover relevant, als volgt:</w:t>
      </w:r>
    </w:p>
    <w:p w14:paraId="130671A2" w14:textId="77777777" w:rsidR="00807EEB" w:rsidRPr="00ED1206" w:rsidRDefault="00807EEB" w:rsidP="00ED1206">
      <w:pPr>
        <w:numPr>
          <w:ilvl w:val="0"/>
          <w:numId w:val="10"/>
        </w:numPr>
        <w:tabs>
          <w:tab w:val="clear" w:pos="720"/>
          <w:tab w:val="num" w:pos="426"/>
        </w:tabs>
        <w:spacing w:before="252" w:after="0" w:line="276" w:lineRule="auto"/>
        <w:ind w:left="426" w:hanging="426"/>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De advocaat is ten aanzien van al hetgeen waarvan hij uit hoofde van zijn beroeps</w:t>
      </w:r>
      <w:r w:rsidRPr="00ED1206">
        <w:rPr>
          <w:rFonts w:ascii="Verdana" w:eastAsia="Franklin Gothic Book" w:hAnsi="Verdana" w:cs="Calibri"/>
          <w:color w:val="000000"/>
          <w:sz w:val="20"/>
          <w:szCs w:val="20"/>
        </w:rPr>
        <w:softHyphen/>
        <w:t xml:space="preserve">uitoefening </w:t>
      </w:r>
      <w:r w:rsidRPr="00ED1206">
        <w:rPr>
          <w:rFonts w:ascii="Verdana" w:eastAsia="Franklin Gothic Book" w:hAnsi="Verdana" w:cs="Calibri"/>
          <w:color w:val="000000"/>
          <w:sz w:val="20"/>
          <w:szCs w:val="20"/>
          <w:u w:val="single"/>
        </w:rPr>
        <w:t>als zodanig kennis neemt</w:t>
      </w:r>
      <w:r w:rsidRPr="00ED1206">
        <w:rPr>
          <w:rFonts w:ascii="Verdana" w:eastAsia="Franklin Gothic Book" w:hAnsi="Verdana" w:cs="Calibri"/>
          <w:color w:val="000000"/>
          <w:sz w:val="20"/>
          <w:szCs w:val="20"/>
        </w:rPr>
        <w:t xml:space="preserve"> tot geheimhouding verplicht. Dezelfde verplichting geldt voor medewerkers en personeel van de advocaat, alsmede andere personen die </w:t>
      </w:r>
      <w:r w:rsidRPr="00ED1206">
        <w:rPr>
          <w:rFonts w:ascii="Verdana" w:eastAsia="Franklin Gothic Book" w:hAnsi="Verdana" w:cs="Calibri"/>
          <w:color w:val="000000"/>
          <w:sz w:val="20"/>
          <w:szCs w:val="20"/>
          <w:u w:val="single"/>
        </w:rPr>
        <w:t>betrokken zijn bij de beroepsuitoefening.</w:t>
      </w:r>
    </w:p>
    <w:p w14:paraId="79421902" w14:textId="77777777" w:rsidR="00807EEB" w:rsidRPr="00ED1206" w:rsidRDefault="00807EEB" w:rsidP="00ED1206">
      <w:pPr>
        <w:numPr>
          <w:ilvl w:val="0"/>
          <w:numId w:val="10"/>
        </w:numPr>
        <w:tabs>
          <w:tab w:val="clear" w:pos="720"/>
          <w:tab w:val="num" w:pos="426"/>
        </w:tabs>
        <w:spacing w:before="252" w:after="0" w:line="276" w:lineRule="auto"/>
        <w:ind w:left="426" w:hanging="426"/>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De advocaat neemt passende maatregelen ter handhaving van de vertrouwelijkheid en de communicatie met de cliënt of derden, in het bijzonder waar het de keuze betreft van de communicatiemiddelen, van dataverwerking en van data</w:t>
      </w:r>
      <w:r w:rsidRPr="00ED1206">
        <w:rPr>
          <w:rFonts w:ascii="Verdana" w:eastAsia="Franklin Gothic Book" w:hAnsi="Verdana" w:cs="Calibri"/>
          <w:color w:val="000000"/>
          <w:sz w:val="20"/>
          <w:szCs w:val="20"/>
        </w:rPr>
        <w:softHyphen/>
        <w:t>opslag waarvan de advocaat zich bedient, en de mate van beveiliging van die middelen.</w:t>
      </w:r>
    </w:p>
    <w:p w14:paraId="77C654AA" w14:textId="77777777" w:rsidR="00807EEB" w:rsidRPr="00ED1206" w:rsidRDefault="00807EEB" w:rsidP="00ED1206">
      <w:pPr>
        <w:tabs>
          <w:tab w:val="left" w:pos="720"/>
        </w:tabs>
        <w:spacing w:before="250" w:after="0" w:line="276" w:lineRule="auto"/>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Deze regelgeving brengt met zich dat de advocaat, zijn werkomgeving en zijn dossiers (fysiek en digitaal) 24/7 kenbaar dienen te zijn als (onderdeel van) de praktijkvoering en de geheimhouding en vertrouwelijkheid ter zake moet zijn gewaarborgd. Een kantoor</w:t>
      </w:r>
      <w:r w:rsidRPr="00ED1206">
        <w:rPr>
          <w:rFonts w:ascii="Verdana" w:eastAsia="Franklin Gothic Book" w:hAnsi="Verdana" w:cs="Calibri"/>
          <w:color w:val="000000"/>
          <w:sz w:val="20"/>
          <w:szCs w:val="20"/>
        </w:rPr>
        <w:softHyphen/>
        <w:t>tuinomgeving zal die geheimhouding en vertrouwelijkheid in beginsel onvoldoende waarborgen.</w:t>
      </w:r>
    </w:p>
    <w:p w14:paraId="0EAAF02D" w14:textId="77777777" w:rsidR="00807EEB" w:rsidRPr="00ED1206" w:rsidRDefault="00807EEB" w:rsidP="00ED1206">
      <w:pPr>
        <w:spacing w:before="250" w:after="0" w:line="276" w:lineRule="auto"/>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Hetzelfde geldt voor collega’s van een advocaat in dienstbetrekking die betrokken zijn bij de beroeps</w:t>
      </w:r>
      <w:r w:rsidRPr="00ED1206">
        <w:rPr>
          <w:rFonts w:ascii="Verdana" w:eastAsia="Franklin Gothic Book" w:hAnsi="Verdana" w:cs="Calibri"/>
          <w:color w:val="000000"/>
          <w:sz w:val="20"/>
          <w:szCs w:val="20"/>
        </w:rPr>
        <w:softHyphen/>
        <w:t>uitoefening door die advocaat, zoals een secretaresse en eventuele juristen/niet advocaat-werknemers (‘</w:t>
      </w:r>
      <w:proofErr w:type="spellStart"/>
      <w:r w:rsidRPr="00ED1206">
        <w:rPr>
          <w:rFonts w:ascii="Verdana" w:eastAsia="Franklin Gothic Book" w:hAnsi="Verdana" w:cs="Calibri"/>
          <w:i/>
          <w:color w:val="000000"/>
          <w:sz w:val="20"/>
          <w:szCs w:val="20"/>
        </w:rPr>
        <w:t>paralegals</w:t>
      </w:r>
      <w:proofErr w:type="spellEnd"/>
      <w:r w:rsidRPr="00ED1206">
        <w:rPr>
          <w:rFonts w:ascii="Verdana" w:eastAsia="Franklin Gothic Book" w:hAnsi="Verdana" w:cs="Calibri"/>
          <w:color w:val="000000"/>
          <w:sz w:val="20"/>
          <w:szCs w:val="20"/>
        </w:rPr>
        <w:t xml:space="preserve"> e.d.).</w:t>
      </w:r>
    </w:p>
    <w:p w14:paraId="4ECCAFE9" w14:textId="77777777" w:rsidR="00807EEB" w:rsidRPr="00ED1206" w:rsidRDefault="00807EEB" w:rsidP="00ED1206">
      <w:pPr>
        <w:spacing w:before="251" w:after="0" w:line="276" w:lineRule="auto"/>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Van het bovenstaande kan slechts worden afgeweken als (i) er naar het oordeel van de deken zwaar</w:t>
      </w:r>
      <w:r w:rsidRPr="00ED1206">
        <w:rPr>
          <w:rFonts w:ascii="Verdana" w:eastAsia="Franklin Gothic Book" w:hAnsi="Verdana" w:cs="Calibri"/>
          <w:color w:val="000000"/>
          <w:sz w:val="20"/>
          <w:szCs w:val="20"/>
        </w:rPr>
        <w:softHyphen/>
        <w:t>wegende organisatorische of bedrijfsbelangen zijn voor het werken in een kantoor</w:t>
      </w:r>
      <w:r w:rsidRPr="00ED1206">
        <w:rPr>
          <w:rFonts w:ascii="Verdana" w:eastAsia="Franklin Gothic Book" w:hAnsi="Verdana" w:cs="Calibri"/>
          <w:color w:val="000000"/>
          <w:sz w:val="20"/>
          <w:szCs w:val="20"/>
        </w:rPr>
        <w:softHyphen/>
        <w:t>tuinomgeving en (ii) de advocaat in dienstbetrekking naar het oordeel van de deken aantoont dat in die kantoortuinomgeving de geheim</w:t>
      </w:r>
      <w:r w:rsidRPr="00ED1206">
        <w:rPr>
          <w:rFonts w:ascii="Verdana" w:eastAsia="Franklin Gothic Book" w:hAnsi="Verdana" w:cs="Calibri"/>
          <w:color w:val="000000"/>
          <w:sz w:val="20"/>
          <w:szCs w:val="20"/>
        </w:rPr>
        <w:softHyphen/>
        <w:t>houding en vertrou</w:t>
      </w:r>
      <w:r w:rsidRPr="00ED1206">
        <w:rPr>
          <w:rFonts w:ascii="Verdana" w:eastAsia="Franklin Gothic Book" w:hAnsi="Verdana" w:cs="Calibri"/>
          <w:color w:val="000000"/>
          <w:sz w:val="20"/>
          <w:szCs w:val="20"/>
        </w:rPr>
        <w:softHyphen/>
        <w:t>we</w:t>
      </w:r>
      <w:r w:rsidRPr="00ED1206">
        <w:rPr>
          <w:rFonts w:ascii="Verdana" w:eastAsia="Franklin Gothic Book" w:hAnsi="Verdana" w:cs="Calibri"/>
          <w:color w:val="000000"/>
          <w:sz w:val="20"/>
          <w:szCs w:val="20"/>
        </w:rPr>
        <w:softHyphen/>
        <w:t>lijk</w:t>
      </w:r>
      <w:r w:rsidRPr="00ED1206">
        <w:rPr>
          <w:rFonts w:ascii="Verdana" w:eastAsia="Franklin Gothic Book" w:hAnsi="Verdana" w:cs="Calibri"/>
          <w:color w:val="000000"/>
          <w:sz w:val="20"/>
          <w:szCs w:val="20"/>
        </w:rPr>
        <w:softHyphen/>
        <w:t>heid naar behoren is gewaar</w:t>
      </w:r>
      <w:r w:rsidRPr="00ED1206">
        <w:rPr>
          <w:rFonts w:ascii="Verdana" w:eastAsia="Franklin Gothic Book" w:hAnsi="Verdana" w:cs="Calibri"/>
          <w:color w:val="000000"/>
          <w:sz w:val="20"/>
          <w:szCs w:val="20"/>
        </w:rPr>
        <w:softHyphen/>
        <w:t>borgd. In het kader van een beslissing over de toelaat</w:t>
      </w:r>
      <w:r w:rsidRPr="00ED1206">
        <w:rPr>
          <w:rFonts w:ascii="Verdana" w:eastAsia="Franklin Gothic Book" w:hAnsi="Verdana" w:cs="Calibri"/>
          <w:color w:val="000000"/>
          <w:sz w:val="20"/>
          <w:szCs w:val="20"/>
        </w:rPr>
        <w:softHyphen/>
        <w:t>baar</w:t>
      </w:r>
      <w:r w:rsidRPr="00ED1206">
        <w:rPr>
          <w:rFonts w:ascii="Verdana" w:eastAsia="Franklin Gothic Book" w:hAnsi="Verdana" w:cs="Calibri"/>
          <w:color w:val="000000"/>
          <w:sz w:val="20"/>
          <w:szCs w:val="20"/>
        </w:rPr>
        <w:softHyphen/>
        <w:t>heid van het werken in een kantoortuinomgeving zal de deken onder meer kunnen verlangen dat:</w:t>
      </w:r>
    </w:p>
    <w:p w14:paraId="48AFBCAF" w14:textId="0091318C" w:rsidR="00426A3D" w:rsidRDefault="00807EEB" w:rsidP="00426A3D">
      <w:pPr>
        <w:numPr>
          <w:ilvl w:val="0"/>
          <w:numId w:val="11"/>
        </w:numPr>
        <w:tabs>
          <w:tab w:val="clear" w:pos="360"/>
          <w:tab w:val="left" w:pos="426"/>
          <w:tab w:val="left" w:pos="1080"/>
        </w:tabs>
        <w:spacing w:before="267" w:after="0" w:line="276" w:lineRule="auto"/>
        <w:ind w:left="426" w:hanging="426"/>
        <w:jc w:val="both"/>
        <w:textAlignment w:val="baseline"/>
        <w:rPr>
          <w:rFonts w:ascii="Verdana" w:eastAsia="Franklin Gothic Book" w:hAnsi="Verdana" w:cs="Calibri"/>
          <w:color w:val="000000"/>
          <w:spacing w:val="4"/>
          <w:sz w:val="20"/>
          <w:szCs w:val="20"/>
        </w:rPr>
      </w:pPr>
      <w:r w:rsidRPr="00ED1206">
        <w:rPr>
          <w:rFonts w:ascii="Verdana" w:eastAsia="Franklin Gothic Book" w:hAnsi="Verdana" w:cs="Calibri"/>
          <w:color w:val="000000"/>
          <w:spacing w:val="4"/>
          <w:sz w:val="20"/>
          <w:szCs w:val="20"/>
        </w:rPr>
        <w:t>de vertrouwelijkheid te allen tijde feitelijk, auditief en visueel is gewaarborgd;</w:t>
      </w:r>
    </w:p>
    <w:p w14:paraId="5D267F4E" w14:textId="77777777" w:rsidR="00426A3D" w:rsidRPr="00426A3D" w:rsidRDefault="00426A3D" w:rsidP="00426A3D">
      <w:pPr>
        <w:tabs>
          <w:tab w:val="left" w:pos="426"/>
          <w:tab w:val="left" w:pos="1080"/>
        </w:tabs>
        <w:spacing w:before="267" w:after="0" w:line="276" w:lineRule="auto"/>
        <w:ind w:left="426"/>
        <w:jc w:val="both"/>
        <w:textAlignment w:val="baseline"/>
        <w:rPr>
          <w:rFonts w:ascii="Verdana" w:eastAsia="Franklin Gothic Book" w:hAnsi="Verdana" w:cs="Calibri"/>
          <w:color w:val="000000"/>
          <w:spacing w:val="4"/>
          <w:sz w:val="20"/>
          <w:szCs w:val="20"/>
        </w:rPr>
      </w:pPr>
      <w:bookmarkStart w:id="0" w:name="_GoBack"/>
      <w:bookmarkEnd w:id="0"/>
    </w:p>
    <w:p w14:paraId="6F8D22D7" w14:textId="77777777" w:rsidR="00807EEB" w:rsidRPr="00ED1206" w:rsidRDefault="00807EEB" w:rsidP="00ED1206">
      <w:pPr>
        <w:numPr>
          <w:ilvl w:val="0"/>
          <w:numId w:val="11"/>
        </w:numPr>
        <w:tabs>
          <w:tab w:val="clear" w:pos="360"/>
          <w:tab w:val="left" w:pos="426"/>
          <w:tab w:val="left" w:pos="1080"/>
        </w:tabs>
        <w:spacing w:before="19" w:after="0" w:line="276" w:lineRule="auto"/>
        <w:ind w:left="426" w:right="504" w:hanging="426"/>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dossiers (digitaal en fysie</w:t>
      </w:r>
      <w:r w:rsidR="0006414F">
        <w:rPr>
          <w:rFonts w:ascii="Verdana" w:eastAsia="Franklin Gothic Book" w:hAnsi="Verdana" w:cs="Calibri"/>
          <w:color w:val="000000"/>
          <w:sz w:val="20"/>
          <w:szCs w:val="20"/>
        </w:rPr>
        <w:t>k) bewaard worden in kasten en binnen</w:t>
      </w:r>
      <w:r w:rsidRPr="00ED1206">
        <w:rPr>
          <w:rFonts w:ascii="Verdana" w:eastAsia="Franklin Gothic Book" w:hAnsi="Verdana" w:cs="Calibri"/>
          <w:color w:val="000000"/>
          <w:sz w:val="20"/>
          <w:szCs w:val="20"/>
        </w:rPr>
        <w:t xml:space="preserve"> een afge</w:t>
      </w:r>
      <w:r w:rsidR="0006414F">
        <w:rPr>
          <w:rFonts w:ascii="Verdana" w:eastAsia="Franklin Gothic Book" w:hAnsi="Verdana" w:cs="Calibri"/>
          <w:color w:val="000000"/>
          <w:sz w:val="20"/>
          <w:szCs w:val="20"/>
        </w:rPr>
        <w:softHyphen/>
      </w:r>
      <w:r w:rsidRPr="00ED1206">
        <w:rPr>
          <w:rFonts w:ascii="Verdana" w:eastAsia="Franklin Gothic Book" w:hAnsi="Verdana" w:cs="Calibri"/>
          <w:color w:val="000000"/>
          <w:sz w:val="20"/>
          <w:szCs w:val="20"/>
        </w:rPr>
        <w:t>schermde omgeving op server</w:t>
      </w:r>
      <w:r w:rsidR="0006414F">
        <w:rPr>
          <w:rFonts w:ascii="Verdana" w:eastAsia="Franklin Gothic Book" w:hAnsi="Verdana" w:cs="Calibri"/>
          <w:color w:val="000000"/>
          <w:sz w:val="20"/>
          <w:szCs w:val="20"/>
        </w:rPr>
        <w:t xml:space="preserve">s of </w:t>
      </w:r>
      <w:r w:rsidRPr="00ED1206">
        <w:rPr>
          <w:rFonts w:ascii="Verdana" w:eastAsia="Franklin Gothic Book" w:hAnsi="Verdana" w:cs="Calibri"/>
          <w:color w:val="000000"/>
          <w:sz w:val="20"/>
          <w:szCs w:val="20"/>
        </w:rPr>
        <w:t>computers</w:t>
      </w:r>
      <w:r w:rsidR="0006414F">
        <w:rPr>
          <w:rFonts w:ascii="Verdana" w:eastAsia="Franklin Gothic Book" w:hAnsi="Verdana" w:cs="Calibri"/>
          <w:color w:val="000000"/>
          <w:sz w:val="20"/>
          <w:szCs w:val="20"/>
        </w:rPr>
        <w:t>, dan wel binnen afzonderlijke</w:t>
      </w:r>
      <w:r w:rsidRPr="00ED1206">
        <w:rPr>
          <w:rFonts w:ascii="Verdana" w:eastAsia="Franklin Gothic Book" w:hAnsi="Verdana" w:cs="Calibri"/>
          <w:color w:val="000000"/>
          <w:sz w:val="20"/>
          <w:szCs w:val="20"/>
        </w:rPr>
        <w:t xml:space="preserve"> servers</w:t>
      </w:r>
      <w:r w:rsidR="0006414F">
        <w:rPr>
          <w:rFonts w:ascii="Verdana" w:eastAsia="Franklin Gothic Book" w:hAnsi="Verdana" w:cs="Calibri"/>
          <w:color w:val="000000"/>
          <w:sz w:val="20"/>
          <w:szCs w:val="20"/>
        </w:rPr>
        <w:t xml:space="preserve"> of computers,</w:t>
      </w:r>
      <w:r w:rsidRPr="00ED1206">
        <w:rPr>
          <w:rFonts w:ascii="Verdana" w:eastAsia="Franklin Gothic Book" w:hAnsi="Verdana" w:cs="Calibri"/>
          <w:color w:val="000000"/>
          <w:sz w:val="20"/>
          <w:szCs w:val="20"/>
        </w:rPr>
        <w:t xml:space="preserve"> waar uitsluitend de advocaat (of de afgeleide geheim</w:t>
      </w:r>
      <w:r w:rsidR="0006414F">
        <w:rPr>
          <w:rFonts w:ascii="Verdana" w:eastAsia="Franklin Gothic Book" w:hAnsi="Verdana" w:cs="Calibri"/>
          <w:color w:val="000000"/>
          <w:sz w:val="20"/>
          <w:szCs w:val="20"/>
        </w:rPr>
        <w:softHyphen/>
      </w:r>
      <w:r w:rsidRPr="00ED1206">
        <w:rPr>
          <w:rFonts w:ascii="Verdana" w:eastAsia="Franklin Gothic Book" w:hAnsi="Verdana" w:cs="Calibri"/>
          <w:color w:val="000000"/>
          <w:sz w:val="20"/>
          <w:szCs w:val="20"/>
        </w:rPr>
        <w:t>houder) toegang toe heeft;</w:t>
      </w:r>
    </w:p>
    <w:p w14:paraId="147E7A55" w14:textId="77777777" w:rsidR="00807EEB" w:rsidRPr="00ED1206" w:rsidRDefault="00807EEB" w:rsidP="00ED1206">
      <w:pPr>
        <w:tabs>
          <w:tab w:val="left" w:pos="426"/>
          <w:tab w:val="left" w:pos="1080"/>
        </w:tabs>
        <w:spacing w:before="19" w:after="0" w:line="276" w:lineRule="auto"/>
        <w:ind w:left="426" w:right="504" w:hanging="426"/>
        <w:jc w:val="both"/>
        <w:textAlignment w:val="baseline"/>
        <w:rPr>
          <w:rFonts w:ascii="Verdana" w:eastAsia="Franklin Gothic Book" w:hAnsi="Verdana" w:cs="Calibri"/>
          <w:color w:val="000000"/>
          <w:sz w:val="20"/>
          <w:szCs w:val="20"/>
        </w:rPr>
      </w:pPr>
    </w:p>
    <w:p w14:paraId="5327DBD4" w14:textId="77777777" w:rsidR="00807EEB" w:rsidRPr="00ED1206" w:rsidRDefault="00807EEB" w:rsidP="00ED1206">
      <w:pPr>
        <w:numPr>
          <w:ilvl w:val="0"/>
          <w:numId w:val="11"/>
        </w:numPr>
        <w:tabs>
          <w:tab w:val="clear" w:pos="360"/>
          <w:tab w:val="left" w:pos="426"/>
        </w:tabs>
        <w:spacing w:before="2" w:after="0" w:line="276" w:lineRule="auto"/>
        <w:ind w:left="426" w:hanging="426"/>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in fysieke dossiers niet wordt gewerkt indien derden daar inzage in of toegang tot kunnen hebben, of mee kunnen lezen;</w:t>
      </w:r>
    </w:p>
    <w:p w14:paraId="3B2942C3" w14:textId="77777777" w:rsidR="00807EEB" w:rsidRPr="00ED1206" w:rsidRDefault="00807EEB" w:rsidP="00ED1206">
      <w:pPr>
        <w:tabs>
          <w:tab w:val="left" w:pos="426"/>
        </w:tabs>
        <w:spacing w:before="2" w:after="0" w:line="276" w:lineRule="auto"/>
        <w:ind w:left="426" w:hanging="426"/>
        <w:jc w:val="both"/>
        <w:textAlignment w:val="baseline"/>
        <w:rPr>
          <w:rFonts w:ascii="Verdana" w:eastAsia="Franklin Gothic Book" w:hAnsi="Verdana" w:cs="Calibri"/>
          <w:color w:val="000000"/>
          <w:sz w:val="20"/>
          <w:szCs w:val="20"/>
        </w:rPr>
      </w:pPr>
    </w:p>
    <w:p w14:paraId="38F2F826" w14:textId="77777777" w:rsidR="00807EEB" w:rsidRPr="00ED1206" w:rsidRDefault="00807EEB" w:rsidP="00ED1206">
      <w:pPr>
        <w:numPr>
          <w:ilvl w:val="0"/>
          <w:numId w:val="11"/>
        </w:numPr>
        <w:tabs>
          <w:tab w:val="clear" w:pos="360"/>
          <w:tab w:val="left" w:pos="426"/>
        </w:tabs>
        <w:spacing w:before="18" w:after="0" w:line="276" w:lineRule="auto"/>
        <w:ind w:left="426" w:right="288" w:hanging="426"/>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 xml:space="preserve">de computer is voorzien van een zogenoemd </w:t>
      </w:r>
      <w:proofErr w:type="spellStart"/>
      <w:r w:rsidR="00ED1206" w:rsidRPr="00ED1206">
        <w:rPr>
          <w:rFonts w:ascii="Verdana" w:eastAsia="Franklin Gothic Book" w:hAnsi="Verdana" w:cs="Calibri"/>
          <w:color w:val="000000"/>
          <w:sz w:val="20"/>
          <w:szCs w:val="20"/>
        </w:rPr>
        <w:t>privacyscherm</w:t>
      </w:r>
      <w:proofErr w:type="spellEnd"/>
      <w:r w:rsidRPr="00ED1206">
        <w:rPr>
          <w:rFonts w:ascii="Verdana" w:eastAsia="Franklin Gothic Book" w:hAnsi="Verdana" w:cs="Calibri"/>
          <w:color w:val="000000"/>
          <w:sz w:val="20"/>
          <w:szCs w:val="20"/>
        </w:rPr>
        <w:t xml:space="preserve"> om meelezen door derden te voorkomen;</w:t>
      </w:r>
    </w:p>
    <w:p w14:paraId="5C26A451" w14:textId="77777777" w:rsidR="00807EEB" w:rsidRPr="00ED1206" w:rsidRDefault="00807EEB" w:rsidP="00ED1206">
      <w:pPr>
        <w:tabs>
          <w:tab w:val="left" w:pos="426"/>
        </w:tabs>
        <w:spacing w:before="18" w:after="0" w:line="276" w:lineRule="auto"/>
        <w:ind w:left="426" w:right="288" w:hanging="426"/>
        <w:jc w:val="both"/>
        <w:textAlignment w:val="baseline"/>
        <w:rPr>
          <w:rFonts w:ascii="Verdana" w:eastAsia="Franklin Gothic Book" w:hAnsi="Verdana" w:cs="Calibri"/>
          <w:color w:val="000000"/>
          <w:sz w:val="20"/>
          <w:szCs w:val="20"/>
        </w:rPr>
      </w:pPr>
    </w:p>
    <w:p w14:paraId="517AA173" w14:textId="77777777" w:rsidR="00807EEB" w:rsidRPr="00ED1206" w:rsidRDefault="00807EEB" w:rsidP="00ED1206">
      <w:pPr>
        <w:numPr>
          <w:ilvl w:val="0"/>
          <w:numId w:val="11"/>
        </w:numPr>
        <w:tabs>
          <w:tab w:val="clear" w:pos="360"/>
          <w:tab w:val="left" w:pos="426"/>
        </w:tabs>
        <w:spacing w:before="21" w:after="0" w:line="276" w:lineRule="auto"/>
        <w:ind w:left="426" w:right="144" w:hanging="426"/>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lastRenderedPageBreak/>
        <w:t>post (fysiek en digitaal) uitsluitend beschikbaar is voor en kan worden geopend door de advocaat of de afgeleide geheimhouder;</w:t>
      </w:r>
    </w:p>
    <w:p w14:paraId="68909370" w14:textId="77777777" w:rsidR="00807EEB" w:rsidRPr="00ED1206" w:rsidRDefault="00807EEB" w:rsidP="00ED1206">
      <w:pPr>
        <w:tabs>
          <w:tab w:val="left" w:pos="426"/>
        </w:tabs>
        <w:spacing w:before="21" w:after="0" w:line="276" w:lineRule="auto"/>
        <w:ind w:left="426" w:right="144" w:hanging="426"/>
        <w:jc w:val="both"/>
        <w:textAlignment w:val="baseline"/>
        <w:rPr>
          <w:rFonts w:ascii="Verdana" w:eastAsia="Franklin Gothic Book" w:hAnsi="Verdana" w:cs="Calibri"/>
          <w:color w:val="000000"/>
          <w:sz w:val="20"/>
          <w:szCs w:val="20"/>
        </w:rPr>
      </w:pPr>
    </w:p>
    <w:p w14:paraId="0D7527A7" w14:textId="77777777" w:rsidR="00807EEB" w:rsidRPr="00ED1206" w:rsidRDefault="00807EEB" w:rsidP="00ED1206">
      <w:pPr>
        <w:numPr>
          <w:ilvl w:val="0"/>
          <w:numId w:val="11"/>
        </w:numPr>
        <w:tabs>
          <w:tab w:val="clear" w:pos="360"/>
          <w:tab w:val="left" w:pos="426"/>
        </w:tabs>
        <w:spacing w:before="21" w:after="0" w:line="276" w:lineRule="auto"/>
        <w:ind w:left="426" w:right="389" w:hanging="426"/>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besprekingen en telefoongesprekken uitsluitend plaatsvinden in afgescheiden ruimten;</w:t>
      </w:r>
    </w:p>
    <w:p w14:paraId="627EDDB9" w14:textId="77777777" w:rsidR="00807EEB" w:rsidRPr="00ED1206" w:rsidRDefault="00807EEB" w:rsidP="00ED1206">
      <w:pPr>
        <w:tabs>
          <w:tab w:val="left" w:pos="426"/>
        </w:tabs>
        <w:spacing w:after="0" w:line="276" w:lineRule="auto"/>
        <w:ind w:left="426" w:hanging="426"/>
        <w:contextualSpacing/>
        <w:jc w:val="both"/>
        <w:rPr>
          <w:rFonts w:ascii="Verdana" w:eastAsia="Franklin Gothic Book" w:hAnsi="Verdana" w:cs="Calibri"/>
          <w:color w:val="000000"/>
          <w:sz w:val="20"/>
          <w:szCs w:val="20"/>
        </w:rPr>
      </w:pPr>
    </w:p>
    <w:p w14:paraId="380CFAEB" w14:textId="77777777" w:rsidR="00807EEB" w:rsidRPr="00ED1206" w:rsidRDefault="00807EEB" w:rsidP="00ED1206">
      <w:pPr>
        <w:numPr>
          <w:ilvl w:val="0"/>
          <w:numId w:val="11"/>
        </w:numPr>
        <w:tabs>
          <w:tab w:val="clear" w:pos="360"/>
          <w:tab w:val="left" w:pos="426"/>
        </w:tabs>
        <w:spacing w:before="21" w:after="0" w:line="276" w:lineRule="auto"/>
        <w:ind w:left="426" w:right="389" w:hanging="426"/>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z w:val="20"/>
          <w:szCs w:val="20"/>
        </w:rPr>
        <w:t>het printen is afgeschermd;</w:t>
      </w:r>
    </w:p>
    <w:p w14:paraId="6502D4BF" w14:textId="77777777" w:rsidR="00807EEB" w:rsidRPr="00ED1206" w:rsidRDefault="00807EEB" w:rsidP="00ED1206">
      <w:pPr>
        <w:pStyle w:val="Lijstalinea"/>
        <w:tabs>
          <w:tab w:val="left" w:pos="426"/>
        </w:tabs>
        <w:spacing w:line="276" w:lineRule="auto"/>
        <w:ind w:left="426" w:hanging="426"/>
        <w:jc w:val="both"/>
        <w:rPr>
          <w:rFonts w:ascii="Verdana" w:eastAsia="Franklin Gothic Book" w:hAnsi="Verdana" w:cs="Calibri"/>
          <w:color w:val="000000"/>
          <w:spacing w:val="4"/>
          <w:sz w:val="20"/>
          <w:szCs w:val="20"/>
        </w:rPr>
      </w:pPr>
    </w:p>
    <w:p w14:paraId="38A89940" w14:textId="77777777" w:rsidR="00807EEB" w:rsidRPr="00ED1206" w:rsidRDefault="00807EEB" w:rsidP="00ED1206">
      <w:pPr>
        <w:numPr>
          <w:ilvl w:val="0"/>
          <w:numId w:val="11"/>
        </w:numPr>
        <w:tabs>
          <w:tab w:val="clear" w:pos="360"/>
          <w:tab w:val="left" w:pos="426"/>
        </w:tabs>
        <w:spacing w:before="21" w:after="0" w:line="276" w:lineRule="auto"/>
        <w:ind w:left="426" w:right="389" w:hanging="426"/>
        <w:jc w:val="both"/>
        <w:textAlignment w:val="baseline"/>
        <w:rPr>
          <w:rFonts w:ascii="Verdana" w:eastAsia="Franklin Gothic Book" w:hAnsi="Verdana" w:cs="Calibri"/>
          <w:color w:val="000000"/>
          <w:sz w:val="20"/>
          <w:szCs w:val="20"/>
        </w:rPr>
      </w:pPr>
      <w:r w:rsidRPr="00ED1206">
        <w:rPr>
          <w:rFonts w:ascii="Verdana" w:eastAsia="Franklin Gothic Book" w:hAnsi="Verdana" w:cs="Calibri"/>
          <w:color w:val="000000"/>
          <w:spacing w:val="4"/>
          <w:sz w:val="20"/>
          <w:szCs w:val="20"/>
        </w:rPr>
        <w:t>de vertrouwelijkheid van archiefdossiers is gewaarborgd.</w:t>
      </w:r>
      <w:r w:rsidR="004E6278" w:rsidRPr="00ED1206">
        <w:rPr>
          <w:rFonts w:ascii="Verdana" w:hAnsi="Verdana"/>
          <w:sz w:val="20"/>
          <w:szCs w:val="20"/>
        </w:rPr>
        <w:t xml:space="preserve"> </w:t>
      </w:r>
    </w:p>
    <w:p w14:paraId="370BFB60" w14:textId="77777777" w:rsidR="004725CC" w:rsidRPr="00ED1206" w:rsidRDefault="004725CC" w:rsidP="00ED1206">
      <w:pPr>
        <w:spacing w:after="0" w:line="276" w:lineRule="auto"/>
        <w:textAlignment w:val="baseline"/>
        <w:rPr>
          <w:rFonts w:ascii="Verdana" w:hAnsi="Verdana"/>
          <w:b/>
          <w:sz w:val="20"/>
          <w:szCs w:val="20"/>
        </w:rPr>
      </w:pPr>
    </w:p>
    <w:p w14:paraId="61B76485" w14:textId="77777777" w:rsidR="004725CC" w:rsidRPr="00ED1206" w:rsidRDefault="004725CC" w:rsidP="00ED1206">
      <w:pPr>
        <w:spacing w:after="0" w:line="276" w:lineRule="auto"/>
        <w:textAlignment w:val="baseline"/>
        <w:rPr>
          <w:rFonts w:ascii="Verdana" w:hAnsi="Verdana"/>
          <w:b/>
          <w:sz w:val="20"/>
          <w:szCs w:val="20"/>
        </w:rPr>
      </w:pPr>
      <w:r w:rsidRPr="00ED1206">
        <w:rPr>
          <w:rFonts w:ascii="Verdana" w:hAnsi="Verdana"/>
          <w:b/>
          <w:sz w:val="20"/>
          <w:szCs w:val="20"/>
        </w:rPr>
        <w:t>I</w:t>
      </w:r>
      <w:r w:rsidR="00F95175" w:rsidRPr="00ED1206">
        <w:rPr>
          <w:rFonts w:ascii="Verdana" w:hAnsi="Verdana"/>
          <w:b/>
          <w:sz w:val="20"/>
          <w:szCs w:val="20"/>
        </w:rPr>
        <w:t>nwerkingtreding</w:t>
      </w:r>
    </w:p>
    <w:p w14:paraId="53982991" w14:textId="77777777" w:rsidR="00ED1206" w:rsidRPr="00ED1206" w:rsidRDefault="00ED1206" w:rsidP="00ED1206">
      <w:pPr>
        <w:spacing w:after="0" w:line="276" w:lineRule="auto"/>
        <w:textAlignment w:val="baseline"/>
        <w:rPr>
          <w:rFonts w:ascii="Verdana" w:hAnsi="Verdana"/>
          <w:sz w:val="20"/>
          <w:szCs w:val="20"/>
        </w:rPr>
      </w:pPr>
    </w:p>
    <w:p w14:paraId="0F7F850F" w14:textId="5123E449" w:rsidR="009A7DDE" w:rsidRPr="00ED1206" w:rsidRDefault="00F95175" w:rsidP="00ED1206">
      <w:pPr>
        <w:spacing w:after="0" w:line="276" w:lineRule="auto"/>
        <w:jc w:val="both"/>
        <w:textAlignment w:val="baseline"/>
        <w:rPr>
          <w:rFonts w:ascii="Verdana" w:hAnsi="Verdana"/>
          <w:sz w:val="20"/>
          <w:szCs w:val="20"/>
        </w:rPr>
      </w:pPr>
      <w:r w:rsidRPr="00ED1206">
        <w:rPr>
          <w:rFonts w:ascii="Verdana" w:hAnsi="Verdana"/>
          <w:sz w:val="20"/>
          <w:szCs w:val="20"/>
        </w:rPr>
        <w:t xml:space="preserve">Deze beleidsregel is besproken en geaccordeerd in het dekenberaad van </w:t>
      </w:r>
      <w:r w:rsidR="0006414F">
        <w:rPr>
          <w:rFonts w:ascii="Verdana" w:hAnsi="Verdana"/>
          <w:sz w:val="20"/>
          <w:szCs w:val="20"/>
        </w:rPr>
        <w:t>7 november</w:t>
      </w:r>
      <w:r w:rsidR="00BA2AC4">
        <w:rPr>
          <w:rFonts w:ascii="Verdana" w:hAnsi="Verdana"/>
          <w:sz w:val="20"/>
          <w:szCs w:val="20"/>
        </w:rPr>
        <w:t xml:space="preserve"> 2019</w:t>
      </w:r>
      <w:r w:rsidRPr="00ED1206">
        <w:rPr>
          <w:rFonts w:ascii="Verdana" w:hAnsi="Verdana"/>
          <w:sz w:val="20"/>
          <w:szCs w:val="20"/>
        </w:rPr>
        <w:t xml:space="preserve">. De deken in het arrondissement </w:t>
      </w:r>
      <w:r w:rsidR="0006414F">
        <w:rPr>
          <w:rFonts w:ascii="Verdana" w:hAnsi="Verdana"/>
          <w:b/>
          <w:sz w:val="20"/>
          <w:szCs w:val="20"/>
        </w:rPr>
        <w:t xml:space="preserve">[      ] </w:t>
      </w:r>
      <w:r w:rsidRPr="00ED1206">
        <w:rPr>
          <w:rFonts w:ascii="Verdana" w:hAnsi="Verdana"/>
          <w:sz w:val="20"/>
          <w:szCs w:val="20"/>
        </w:rPr>
        <w:t xml:space="preserve">heeft de beleidsregel </w:t>
      </w:r>
      <w:r w:rsidR="0006414F">
        <w:rPr>
          <w:rFonts w:ascii="Verdana" w:hAnsi="Verdana"/>
          <w:sz w:val="20"/>
          <w:szCs w:val="20"/>
        </w:rPr>
        <w:t xml:space="preserve">op </w:t>
      </w:r>
      <w:r w:rsidR="0006414F">
        <w:rPr>
          <w:rFonts w:ascii="Verdana" w:hAnsi="Verdana"/>
          <w:b/>
          <w:sz w:val="20"/>
          <w:szCs w:val="20"/>
        </w:rPr>
        <w:t>[datum]</w:t>
      </w:r>
      <w:r w:rsidR="00DE6BE9" w:rsidRPr="00ED1206">
        <w:rPr>
          <w:rFonts w:ascii="Verdana" w:hAnsi="Verdana"/>
          <w:sz w:val="20"/>
          <w:szCs w:val="20"/>
        </w:rPr>
        <w:t xml:space="preserve"> </w:t>
      </w:r>
      <w:r w:rsidRPr="00ED1206">
        <w:rPr>
          <w:rFonts w:ascii="Verdana" w:hAnsi="Verdana"/>
          <w:sz w:val="20"/>
          <w:szCs w:val="20"/>
        </w:rPr>
        <w:t xml:space="preserve">vastgesteld. De beleidsregel wordt gepubliceerd op de website van de orde van advocaten in het arrondissement </w:t>
      </w:r>
      <w:r w:rsidR="005C169C">
        <w:rPr>
          <w:rFonts w:ascii="Verdana" w:hAnsi="Verdana"/>
          <w:b/>
          <w:sz w:val="20"/>
          <w:szCs w:val="20"/>
        </w:rPr>
        <w:t>[         ]</w:t>
      </w:r>
      <w:r w:rsidR="00CE74EF" w:rsidRPr="00ED1206">
        <w:rPr>
          <w:rFonts w:ascii="Verdana" w:hAnsi="Verdana"/>
          <w:sz w:val="20"/>
          <w:szCs w:val="20"/>
        </w:rPr>
        <w:t xml:space="preserve"> en treedt in werking op de dag na publicatie ervan</w:t>
      </w:r>
      <w:r w:rsidRPr="00ED1206">
        <w:rPr>
          <w:rFonts w:ascii="Verdana" w:hAnsi="Verdana"/>
          <w:sz w:val="20"/>
          <w:szCs w:val="20"/>
        </w:rPr>
        <w:t xml:space="preserve">. </w:t>
      </w:r>
    </w:p>
    <w:p w14:paraId="2A203AB6" w14:textId="77777777" w:rsidR="00E21552" w:rsidRPr="00ED1206" w:rsidRDefault="00076D6C" w:rsidP="00ED1206">
      <w:pPr>
        <w:spacing w:after="0" w:line="276" w:lineRule="auto"/>
        <w:jc w:val="both"/>
        <w:rPr>
          <w:rFonts w:ascii="Verdana" w:hAnsi="Verdana"/>
          <w:b/>
          <w:sz w:val="20"/>
          <w:szCs w:val="20"/>
        </w:rPr>
      </w:pPr>
      <w:r w:rsidRPr="00ED1206">
        <w:rPr>
          <w:rFonts w:ascii="Verdana" w:hAnsi="Verdana"/>
          <w:sz w:val="20"/>
          <w:szCs w:val="20"/>
        </w:rPr>
        <w:t xml:space="preserve"> </w:t>
      </w:r>
    </w:p>
    <w:sectPr w:rsidR="00E21552" w:rsidRPr="00ED1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5CAB4" w14:textId="77777777" w:rsidR="00CA15E5" w:rsidRDefault="00CA15E5" w:rsidP="001D13D8">
      <w:pPr>
        <w:spacing w:after="0" w:line="240" w:lineRule="auto"/>
      </w:pPr>
      <w:r>
        <w:separator/>
      </w:r>
    </w:p>
  </w:endnote>
  <w:endnote w:type="continuationSeparator" w:id="0">
    <w:p w14:paraId="2898F686" w14:textId="77777777" w:rsidR="00CA15E5" w:rsidRDefault="00CA15E5" w:rsidP="001D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9F26" w14:textId="77777777" w:rsidR="00CA15E5" w:rsidRDefault="00CA15E5" w:rsidP="001D13D8">
      <w:pPr>
        <w:spacing w:after="0" w:line="240" w:lineRule="auto"/>
      </w:pPr>
      <w:r>
        <w:separator/>
      </w:r>
    </w:p>
  </w:footnote>
  <w:footnote w:type="continuationSeparator" w:id="0">
    <w:p w14:paraId="2D7BB5FE" w14:textId="77777777" w:rsidR="00CA15E5" w:rsidRDefault="00CA15E5" w:rsidP="001D1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27A49"/>
    <w:multiLevelType w:val="hybridMultilevel"/>
    <w:tmpl w:val="2F007D0C"/>
    <w:lvl w:ilvl="0" w:tplc="B2D415AE">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7B00AD"/>
    <w:multiLevelType w:val="hybridMultilevel"/>
    <w:tmpl w:val="4E28A766"/>
    <w:lvl w:ilvl="0" w:tplc="83A4924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7C4613"/>
    <w:multiLevelType w:val="hybridMultilevel"/>
    <w:tmpl w:val="B5AAB7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3137DE"/>
    <w:multiLevelType w:val="hybridMultilevel"/>
    <w:tmpl w:val="1130A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9D3557"/>
    <w:multiLevelType w:val="multilevel"/>
    <w:tmpl w:val="1D943A78"/>
    <w:lvl w:ilvl="0">
      <w:start w:val="1"/>
      <w:numFmt w:val="bullet"/>
      <w:lvlText w:val=""/>
      <w:lvlJc w:val="left"/>
      <w:pPr>
        <w:tabs>
          <w:tab w:val="num" w:pos="720"/>
        </w:tabs>
        <w:ind w:left="0" w:firstLine="0"/>
      </w:pPr>
      <w:rPr>
        <w:rFonts w:ascii="Symbol" w:hAnsi="Symbol" w:hint="default"/>
        <w:color w:val="000000"/>
        <w:spacing w:val="0"/>
        <w:w w:val="100"/>
        <w:sz w:val="22"/>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5F46440"/>
    <w:multiLevelType w:val="hybridMultilevel"/>
    <w:tmpl w:val="BC8CC2F0"/>
    <w:lvl w:ilvl="0" w:tplc="201E9B1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6D6B7B"/>
    <w:multiLevelType w:val="hybridMultilevel"/>
    <w:tmpl w:val="0E5AF1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EE4A1D"/>
    <w:multiLevelType w:val="multilevel"/>
    <w:tmpl w:val="06FA0E02"/>
    <w:lvl w:ilvl="0">
      <w:numFmt w:val="bullet"/>
      <w:lvlText w:val="·"/>
      <w:lvlJc w:val="left"/>
      <w:pPr>
        <w:tabs>
          <w:tab w:val="left" w:pos="360"/>
        </w:tabs>
      </w:pPr>
      <w:rPr>
        <w:rFonts w:ascii="Symbol" w:eastAsia="Symbol" w:hAnsi="Symbol"/>
        <w:color w:val="000000"/>
        <w:spacing w:val="4"/>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955059"/>
    <w:multiLevelType w:val="hybridMultilevel"/>
    <w:tmpl w:val="6CC09D3E"/>
    <w:lvl w:ilvl="0" w:tplc="9698C59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227D55"/>
    <w:multiLevelType w:val="hybridMultilevel"/>
    <w:tmpl w:val="D91493A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B306DD"/>
    <w:multiLevelType w:val="hybridMultilevel"/>
    <w:tmpl w:val="5BA8A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5"/>
  </w:num>
  <w:num w:numId="5">
    <w:abstractNumId w:val="3"/>
  </w:num>
  <w:num w:numId="6">
    <w:abstractNumId w:val="2"/>
  </w:num>
  <w:num w:numId="7">
    <w:abstractNumId w:val="6"/>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24"/>
    <w:rsid w:val="00037E15"/>
    <w:rsid w:val="0006414F"/>
    <w:rsid w:val="00076D6C"/>
    <w:rsid w:val="00132673"/>
    <w:rsid w:val="00150BE2"/>
    <w:rsid w:val="001650E6"/>
    <w:rsid w:val="00171A8B"/>
    <w:rsid w:val="001D13D8"/>
    <w:rsid w:val="001D193C"/>
    <w:rsid w:val="002028DA"/>
    <w:rsid w:val="002130EC"/>
    <w:rsid w:val="00235185"/>
    <w:rsid w:val="00241455"/>
    <w:rsid w:val="00247B6C"/>
    <w:rsid w:val="0025645D"/>
    <w:rsid w:val="002757B8"/>
    <w:rsid w:val="00281F9B"/>
    <w:rsid w:val="002B18F9"/>
    <w:rsid w:val="002B3FEA"/>
    <w:rsid w:val="002B66E6"/>
    <w:rsid w:val="002E581E"/>
    <w:rsid w:val="002F0876"/>
    <w:rsid w:val="002F2449"/>
    <w:rsid w:val="00330CF3"/>
    <w:rsid w:val="00341D24"/>
    <w:rsid w:val="00354217"/>
    <w:rsid w:val="00360F6D"/>
    <w:rsid w:val="003739B0"/>
    <w:rsid w:val="00376191"/>
    <w:rsid w:val="003847DA"/>
    <w:rsid w:val="003B11A7"/>
    <w:rsid w:val="003D3930"/>
    <w:rsid w:val="003F0102"/>
    <w:rsid w:val="003F0615"/>
    <w:rsid w:val="00425FE7"/>
    <w:rsid w:val="00426A3D"/>
    <w:rsid w:val="00445E00"/>
    <w:rsid w:val="004725CC"/>
    <w:rsid w:val="00476048"/>
    <w:rsid w:val="004827BC"/>
    <w:rsid w:val="004830B1"/>
    <w:rsid w:val="004950C1"/>
    <w:rsid w:val="004A0987"/>
    <w:rsid w:val="004A24B6"/>
    <w:rsid w:val="004B6970"/>
    <w:rsid w:val="004E6278"/>
    <w:rsid w:val="004F0DE7"/>
    <w:rsid w:val="004F292A"/>
    <w:rsid w:val="004F6911"/>
    <w:rsid w:val="005072D2"/>
    <w:rsid w:val="005232E9"/>
    <w:rsid w:val="0056772C"/>
    <w:rsid w:val="005709E5"/>
    <w:rsid w:val="005A4460"/>
    <w:rsid w:val="005B7F34"/>
    <w:rsid w:val="005C169C"/>
    <w:rsid w:val="005D65A3"/>
    <w:rsid w:val="005E68AE"/>
    <w:rsid w:val="005F1422"/>
    <w:rsid w:val="005F561E"/>
    <w:rsid w:val="00603856"/>
    <w:rsid w:val="00604959"/>
    <w:rsid w:val="0061473B"/>
    <w:rsid w:val="00631706"/>
    <w:rsid w:val="00640726"/>
    <w:rsid w:val="006619FE"/>
    <w:rsid w:val="00665D59"/>
    <w:rsid w:val="00667E12"/>
    <w:rsid w:val="00676215"/>
    <w:rsid w:val="006C35F6"/>
    <w:rsid w:val="006C3630"/>
    <w:rsid w:val="006C3A29"/>
    <w:rsid w:val="007034F5"/>
    <w:rsid w:val="00735449"/>
    <w:rsid w:val="00745A95"/>
    <w:rsid w:val="007617CF"/>
    <w:rsid w:val="0076707D"/>
    <w:rsid w:val="007749E4"/>
    <w:rsid w:val="00783AD8"/>
    <w:rsid w:val="007E1131"/>
    <w:rsid w:val="007E315F"/>
    <w:rsid w:val="007F3FB1"/>
    <w:rsid w:val="00807EEB"/>
    <w:rsid w:val="00836707"/>
    <w:rsid w:val="00843FB5"/>
    <w:rsid w:val="008456BD"/>
    <w:rsid w:val="00855F44"/>
    <w:rsid w:val="00895895"/>
    <w:rsid w:val="0089605A"/>
    <w:rsid w:val="00897819"/>
    <w:rsid w:val="008A3309"/>
    <w:rsid w:val="008A3A42"/>
    <w:rsid w:val="008C38D8"/>
    <w:rsid w:val="008C7B18"/>
    <w:rsid w:val="008E2505"/>
    <w:rsid w:val="00940A58"/>
    <w:rsid w:val="00970828"/>
    <w:rsid w:val="00972BB7"/>
    <w:rsid w:val="00994602"/>
    <w:rsid w:val="009A7DDE"/>
    <w:rsid w:val="009E174B"/>
    <w:rsid w:val="00A07019"/>
    <w:rsid w:val="00A20727"/>
    <w:rsid w:val="00A4050C"/>
    <w:rsid w:val="00AE13D1"/>
    <w:rsid w:val="00AE3BCD"/>
    <w:rsid w:val="00AF2E38"/>
    <w:rsid w:val="00B43F14"/>
    <w:rsid w:val="00B70687"/>
    <w:rsid w:val="00BA1595"/>
    <w:rsid w:val="00BA2AC4"/>
    <w:rsid w:val="00BB4A51"/>
    <w:rsid w:val="00BC7DC8"/>
    <w:rsid w:val="00BD40DF"/>
    <w:rsid w:val="00C02217"/>
    <w:rsid w:val="00C1554D"/>
    <w:rsid w:val="00C65542"/>
    <w:rsid w:val="00CA15E5"/>
    <w:rsid w:val="00CD615E"/>
    <w:rsid w:val="00CE74EF"/>
    <w:rsid w:val="00D02003"/>
    <w:rsid w:val="00D16208"/>
    <w:rsid w:val="00D17D30"/>
    <w:rsid w:val="00D21F1E"/>
    <w:rsid w:val="00D244A0"/>
    <w:rsid w:val="00D35AC7"/>
    <w:rsid w:val="00D5415F"/>
    <w:rsid w:val="00D5560F"/>
    <w:rsid w:val="00D61D5C"/>
    <w:rsid w:val="00D73CC3"/>
    <w:rsid w:val="00D745A5"/>
    <w:rsid w:val="00D81F34"/>
    <w:rsid w:val="00DB4FF3"/>
    <w:rsid w:val="00DD3382"/>
    <w:rsid w:val="00DE6BE9"/>
    <w:rsid w:val="00DF3EA5"/>
    <w:rsid w:val="00E21552"/>
    <w:rsid w:val="00E70E20"/>
    <w:rsid w:val="00E878B2"/>
    <w:rsid w:val="00EB20F6"/>
    <w:rsid w:val="00ED1206"/>
    <w:rsid w:val="00F04E74"/>
    <w:rsid w:val="00F1433E"/>
    <w:rsid w:val="00F14E94"/>
    <w:rsid w:val="00F2187C"/>
    <w:rsid w:val="00F33CC2"/>
    <w:rsid w:val="00F40B21"/>
    <w:rsid w:val="00F57CFE"/>
    <w:rsid w:val="00F61528"/>
    <w:rsid w:val="00F6164D"/>
    <w:rsid w:val="00F95175"/>
    <w:rsid w:val="00FA43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CD8ED"/>
  <w15:docId w15:val="{113B3D26-8D57-40EC-B3AD-F0091EAA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0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1D24"/>
    <w:pPr>
      <w:ind w:left="720"/>
      <w:contextualSpacing/>
    </w:pPr>
  </w:style>
  <w:style w:type="table" w:styleId="Tabelraster">
    <w:name w:val="Table Grid"/>
    <w:basedOn w:val="Standaardtabel"/>
    <w:uiPriority w:val="39"/>
    <w:rsid w:val="00E70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D13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13D8"/>
  </w:style>
  <w:style w:type="paragraph" w:styleId="Voettekst">
    <w:name w:val="footer"/>
    <w:basedOn w:val="Standaard"/>
    <w:link w:val="VoettekstChar"/>
    <w:uiPriority w:val="99"/>
    <w:unhideWhenUsed/>
    <w:rsid w:val="001D13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13D8"/>
  </w:style>
  <w:style w:type="character" w:customStyle="1" w:styleId="Kop1Char">
    <w:name w:val="Kop 1 Char"/>
    <w:basedOn w:val="Standaardalinea-lettertype"/>
    <w:link w:val="Kop1"/>
    <w:uiPriority w:val="9"/>
    <w:rsid w:val="00B70687"/>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2E581E"/>
    <w:rPr>
      <w:sz w:val="16"/>
      <w:szCs w:val="16"/>
    </w:rPr>
  </w:style>
  <w:style w:type="paragraph" w:styleId="Tekstopmerking">
    <w:name w:val="annotation text"/>
    <w:basedOn w:val="Standaard"/>
    <w:link w:val="TekstopmerkingChar"/>
    <w:uiPriority w:val="99"/>
    <w:semiHidden/>
    <w:unhideWhenUsed/>
    <w:rsid w:val="002E581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581E"/>
    <w:rPr>
      <w:sz w:val="20"/>
      <w:szCs w:val="20"/>
    </w:rPr>
  </w:style>
  <w:style w:type="paragraph" w:styleId="Onderwerpvanopmerking">
    <w:name w:val="annotation subject"/>
    <w:basedOn w:val="Tekstopmerking"/>
    <w:next w:val="Tekstopmerking"/>
    <w:link w:val="OnderwerpvanopmerkingChar"/>
    <w:uiPriority w:val="99"/>
    <w:semiHidden/>
    <w:unhideWhenUsed/>
    <w:rsid w:val="002E581E"/>
    <w:rPr>
      <w:b/>
      <w:bCs/>
    </w:rPr>
  </w:style>
  <w:style w:type="character" w:customStyle="1" w:styleId="OnderwerpvanopmerkingChar">
    <w:name w:val="Onderwerp van opmerking Char"/>
    <w:basedOn w:val="TekstopmerkingChar"/>
    <w:link w:val="Onderwerpvanopmerking"/>
    <w:uiPriority w:val="99"/>
    <w:semiHidden/>
    <w:rsid w:val="002E581E"/>
    <w:rPr>
      <w:b/>
      <w:bCs/>
      <w:sz w:val="20"/>
      <w:szCs w:val="20"/>
    </w:rPr>
  </w:style>
  <w:style w:type="paragraph" w:styleId="Ballontekst">
    <w:name w:val="Balloon Text"/>
    <w:basedOn w:val="Standaard"/>
    <w:link w:val="BallontekstChar"/>
    <w:uiPriority w:val="99"/>
    <w:semiHidden/>
    <w:unhideWhenUsed/>
    <w:rsid w:val="002E58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5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C902C4544BB64396C2875FCD4BDF90" ma:contentTypeVersion="14" ma:contentTypeDescription="Een nieuw document maken." ma:contentTypeScope="" ma:versionID="ec5a5971b63b31a6a37ea3c6abd78353">
  <xsd:schema xmlns:xsd="http://www.w3.org/2001/XMLSchema" xmlns:xs="http://www.w3.org/2001/XMLSchema" xmlns:p="http://schemas.microsoft.com/office/2006/metadata/properties" xmlns:ns2="ef72a332-30d9-42d1-8b3a-b67c6c3e5901" xmlns:ns3="f9682da8-0791-4d8d-939e-6c25b0cfc35a" targetNamespace="http://schemas.microsoft.com/office/2006/metadata/properties" ma:root="true" ma:fieldsID="517f9292e5cca397c211543988689266" ns2:_="" ns3:_="">
    <xsd:import namespace="ef72a332-30d9-42d1-8b3a-b67c6c3e5901"/>
    <xsd:import namespace="f9682da8-0791-4d8d-939e-6c25b0cfc3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2a332-30d9-42d1-8b3a-b67c6c3e5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8d039ffa-bfd0-440d-be85-f81392650c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682da8-0791-4d8d-939e-6c25b0cfc35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9585e55-c391-44a8-8ebc-f3a51675d2e4}" ma:internalName="TaxCatchAll" ma:showField="CatchAllData" ma:web="f9682da8-0791-4d8d-939e-6c25b0cfc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682da8-0791-4d8d-939e-6c25b0cfc35a" xsi:nil="true"/>
    <lcf76f155ced4ddcb4097134ff3c332f xmlns="ef72a332-30d9-42d1-8b3a-b67c6c3e59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58EFB-EE2E-4595-9734-F990C8518A84}">
  <ds:schemaRefs>
    <ds:schemaRef ds:uri="http://schemas.openxmlformats.org/officeDocument/2006/bibliography"/>
  </ds:schemaRefs>
</ds:datastoreItem>
</file>

<file path=customXml/itemProps2.xml><?xml version="1.0" encoding="utf-8"?>
<ds:datastoreItem xmlns:ds="http://schemas.openxmlformats.org/officeDocument/2006/customXml" ds:itemID="{9D69CE74-2711-41CF-A8FA-C7DA9A707DC7}"/>
</file>

<file path=customXml/itemProps3.xml><?xml version="1.0" encoding="utf-8"?>
<ds:datastoreItem xmlns:ds="http://schemas.openxmlformats.org/officeDocument/2006/customXml" ds:itemID="{83C744E1-2DCD-4263-91F1-98A6C6F8415E}"/>
</file>

<file path=customXml/itemProps4.xml><?xml version="1.0" encoding="utf-8"?>
<ds:datastoreItem xmlns:ds="http://schemas.openxmlformats.org/officeDocument/2006/customXml" ds:itemID="{583CFA8E-6E61-4728-B731-3ADF9E2E7FE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2728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Lensink</dc:creator>
  <cp:keywords/>
  <dc:description/>
  <cp:lastModifiedBy>Nicole Jäger</cp:lastModifiedBy>
  <cp:revision>3</cp:revision>
  <cp:lastPrinted>2019-01-03T08:30:00Z</cp:lastPrinted>
  <dcterms:created xsi:type="dcterms:W3CDTF">2019-11-12T14:50:00Z</dcterms:created>
  <dcterms:modified xsi:type="dcterms:W3CDTF">2019-11-12T14:50:00Z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0x010100C3C902C4544BB64396C2875FCD4BDF90</vt:lpwstr>
  </property>
  <property fmtid="{D5CDD505-2E9C-101B-9397-08002B2CF9AE}" pid="3" name="MediaServiceImageTags">
    <vt:lpwstr/>
  </property>
</Properties>
</file>